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26" w:rsidRDefault="00F96326">
      <w:pPr>
        <w:jc w:val="center"/>
      </w:pPr>
    </w:p>
    <w:p w:rsidR="006679AE" w:rsidRDefault="006679AE">
      <w:pPr>
        <w:jc w:val="center"/>
      </w:pPr>
    </w:p>
    <w:p w:rsidR="006679AE" w:rsidRDefault="006679AE">
      <w:pPr>
        <w:jc w:val="center"/>
      </w:pPr>
    </w:p>
    <w:p w:rsidR="00F7577E" w:rsidRDefault="00C1126C">
      <w:pPr>
        <w:jc w:val="center"/>
      </w:pPr>
      <w:r>
        <w:t>ACUERDO DE LEGISLATURA 2019-2023 BUSTARVIEJO</w:t>
      </w:r>
    </w:p>
    <w:p w:rsidR="00F7577E" w:rsidRDefault="00F7577E">
      <w:pPr>
        <w:jc w:val="center"/>
      </w:pPr>
    </w:p>
    <w:p w:rsidR="00F7577E" w:rsidRDefault="00C1126C">
      <w:pPr>
        <w:jc w:val="center"/>
      </w:pPr>
      <w:r>
        <w:t>UNIDAS IZQUIERDA UNIDA PODEMOS</w:t>
      </w:r>
    </w:p>
    <w:p w:rsidR="00F7577E" w:rsidRDefault="00C1126C">
      <w:pPr>
        <w:jc w:val="center"/>
      </w:pPr>
      <w:r>
        <w:t>PARTIDO SOCIALISTA OBRERO ESPAÑOL</w:t>
      </w:r>
    </w:p>
    <w:p w:rsidR="00F7577E" w:rsidRDefault="00C1126C">
      <w:pPr>
        <w:jc w:val="center"/>
      </w:pPr>
      <w:r>
        <w:t>AGRUPACIÓN VECINAL DE BUSTARVIEJO</w:t>
      </w:r>
    </w:p>
    <w:p w:rsidR="00F7577E" w:rsidRDefault="00F7577E">
      <w:pPr>
        <w:jc w:val="center"/>
      </w:pPr>
    </w:p>
    <w:p w:rsidR="00F7577E" w:rsidRDefault="00F7577E"/>
    <w:p w:rsidR="00925215" w:rsidRDefault="00925215">
      <w:r>
        <w:t>Los tres grupos del presente acuerdo decidieron, tras los resultados de las elecciones m</w:t>
      </w:r>
      <w:r w:rsidR="002B29FB">
        <w:t>unicipales del 26 de mayo, abor</w:t>
      </w:r>
      <w:r>
        <w:t xml:space="preserve">dar un proceso de negociación que nos permitiera constituir un gobierno </w:t>
      </w:r>
      <w:r w:rsidR="00016551">
        <w:t>municipal de progreso que contri</w:t>
      </w:r>
      <w:r>
        <w:t>buyera a mejorar la vida de todo el vecindario</w:t>
      </w:r>
      <w:r w:rsidR="00016551">
        <w:t xml:space="preserve"> de </w:t>
      </w:r>
      <w:proofErr w:type="spellStart"/>
      <w:r w:rsidR="00016551">
        <w:t>Bustarviejo</w:t>
      </w:r>
      <w:proofErr w:type="spellEnd"/>
      <w:r>
        <w:t>.</w:t>
      </w:r>
    </w:p>
    <w:p w:rsidR="002B29FB" w:rsidRDefault="002B29FB"/>
    <w:p w:rsidR="00925215" w:rsidRDefault="00925215">
      <w:r>
        <w:t>Desde las elecciones hemos trabajado conjuntamente y el fruto de dicho trabajo es el presente Acuerdo de Legislatura, que contiene un Programa Común de Gobierno, un Acuerdo de Funcionamiento, un Compromiso Ético y una distribución de las responsabilidades de gobierno.</w:t>
      </w:r>
    </w:p>
    <w:p w:rsidR="00925215" w:rsidRDefault="00925215"/>
    <w:p w:rsidR="00925215" w:rsidRDefault="00925215">
      <w:r>
        <w:t>Esto ha sido posible por la alta coincidencia de los programas electorales de los tres grupos.</w:t>
      </w:r>
    </w:p>
    <w:p w:rsidR="00925215" w:rsidRDefault="00925215"/>
    <w:p w:rsidR="00F96326" w:rsidRDefault="002B29FB">
      <w:r>
        <w:t>Nos congratulamos enormemente por el esfuerzo y el resultado</w:t>
      </w:r>
      <w:r w:rsidR="00F96326">
        <w:t xml:space="preserve">, el cual </w:t>
      </w:r>
      <w:r>
        <w:t xml:space="preserve">ha sido ratificado por </w:t>
      </w:r>
      <w:proofErr w:type="gramStart"/>
      <w:r>
        <w:t xml:space="preserve">las </w:t>
      </w:r>
      <w:r w:rsidR="00F96326">
        <w:t xml:space="preserve">distinta </w:t>
      </w:r>
      <w:r w:rsidR="000D58F9">
        <w:t>asambleas</w:t>
      </w:r>
      <w:proofErr w:type="gramEnd"/>
      <w:r w:rsidR="000D58F9">
        <w:t xml:space="preserve"> y agrupaciones</w:t>
      </w:r>
      <w:r w:rsidR="00F96326">
        <w:t>.</w:t>
      </w:r>
    </w:p>
    <w:p w:rsidR="00F96326" w:rsidRDefault="00F96326"/>
    <w:p w:rsidR="002B29FB" w:rsidRDefault="002B29FB">
      <w:r>
        <w:t xml:space="preserve">Esperamos que el presente acuerdo permita desarrollar una legislatura </w:t>
      </w:r>
      <w:r w:rsidR="00F40D6A">
        <w:t xml:space="preserve">estable y provechosa para </w:t>
      </w:r>
      <w:proofErr w:type="spellStart"/>
      <w:r w:rsidR="00F40D6A">
        <w:t>Bustarviejo</w:t>
      </w:r>
      <w:proofErr w:type="spellEnd"/>
      <w:r w:rsidR="00F40D6A">
        <w:t>.</w:t>
      </w:r>
    </w:p>
    <w:p w:rsidR="002B29FB" w:rsidRDefault="002B29FB"/>
    <w:p w:rsidR="002B29FB" w:rsidRDefault="002B29FB"/>
    <w:p w:rsidR="00F7577E" w:rsidRDefault="00C1126C">
      <w:r>
        <w:t>ACUERDO DE PROGRAMA</w:t>
      </w:r>
      <w:r w:rsidR="00B46895">
        <w:t xml:space="preserve"> COMÚN</w:t>
      </w:r>
    </w:p>
    <w:p w:rsidR="00F7577E" w:rsidRDefault="00F7577E"/>
    <w:p w:rsidR="00F7577E" w:rsidRDefault="00C1126C">
      <w:r>
        <w:t xml:space="preserve">Se acuerda una serie de </w:t>
      </w:r>
      <w:r>
        <w:rPr>
          <w:b/>
          <w:bCs/>
        </w:rPr>
        <w:t>compromisos</w:t>
      </w:r>
      <w:r>
        <w:t xml:space="preserve"> calendarizados y cuantificados, que </w:t>
      </w:r>
      <w:r w:rsidR="0098136F">
        <w:t>por la propia flexibilidad de cualquier programa de gobierno</w:t>
      </w:r>
      <w:r w:rsidR="00B46895">
        <w:t>,</w:t>
      </w:r>
      <w:r w:rsidR="0098136F">
        <w:t xml:space="preserve"> no está cerrada y admite nuevas incorporaciones.</w:t>
      </w:r>
    </w:p>
    <w:p w:rsidR="00F7577E" w:rsidRDefault="00C1126C">
      <w:r>
        <w:t xml:space="preserve">Estos compromisos indican cuánto se tiene que incrementar </w:t>
      </w:r>
      <w:r w:rsidR="00B46895">
        <w:t xml:space="preserve">cada año </w:t>
      </w:r>
      <w:r>
        <w:t>la capacidad de gasto respecto a</w:t>
      </w:r>
      <w:r w:rsidR="00B46895">
        <w:t xml:space="preserve">l presupuesto de </w:t>
      </w:r>
      <w:r>
        <w:t xml:space="preserve"> 2019 </w:t>
      </w:r>
      <w:r w:rsidR="00B46895">
        <w:t>con el fin de</w:t>
      </w:r>
      <w:r>
        <w:t xml:space="preserve"> desarrollar el programa común</w:t>
      </w:r>
      <w:r w:rsidR="00B46895">
        <w:t xml:space="preserve"> de los tres grupos</w:t>
      </w:r>
      <w:r>
        <w:t xml:space="preserve">. </w:t>
      </w:r>
      <w:r w:rsidR="00926065">
        <w:t xml:space="preserve">Programa común muy condicionado por actuaciones ineludibles que el Ayuntamiento tiene que asumir por imperativos legales. </w:t>
      </w:r>
      <w:r>
        <w:t>Ese incremento de capacidad de gasto se financiará con las f</w:t>
      </w:r>
      <w:r w:rsidR="00926065">
        <w:t>órmulas menos gravosas posibles para el vecindario.</w:t>
      </w:r>
    </w:p>
    <w:p w:rsidR="00F7577E" w:rsidRDefault="00F7577E"/>
    <w:p w:rsidR="00F7577E" w:rsidRDefault="00C1126C">
      <w:r>
        <w:t xml:space="preserve">También se acuerdan </w:t>
      </w:r>
      <w:r>
        <w:rPr>
          <w:b/>
          <w:bCs/>
        </w:rPr>
        <w:t>iniciativas</w:t>
      </w:r>
      <w:r>
        <w:t xml:space="preserve"> y </w:t>
      </w:r>
      <w:r>
        <w:rPr>
          <w:b/>
          <w:bCs/>
        </w:rPr>
        <w:t>propuestas.</w:t>
      </w:r>
    </w:p>
    <w:p w:rsidR="00F7577E" w:rsidRDefault="00F7577E">
      <w:pPr>
        <w:rPr>
          <w:b/>
          <w:bCs/>
        </w:rPr>
      </w:pPr>
    </w:p>
    <w:p w:rsidR="007F19FB" w:rsidRDefault="00C1126C">
      <w:r>
        <w:t xml:space="preserve">El programa común se encuentra en el documento </w:t>
      </w:r>
      <w:r w:rsidR="0098136F">
        <w:t xml:space="preserve">insertado </w:t>
      </w:r>
      <w:r w:rsidR="00C85D97">
        <w:t xml:space="preserve">aquí. Pincha para acceder al mismo. </w:t>
      </w:r>
      <w:bookmarkStart w:id="0" w:name="_GoBack"/>
      <w:bookmarkEnd w:id="0"/>
    </w:p>
    <w:p w:rsidR="007F19FB" w:rsidRDefault="007F19FB"/>
    <w:p w:rsidR="00F7577E" w:rsidRDefault="00C85D97">
      <w:hyperlink r:id="rId6" w:history="1">
        <w:r w:rsidR="002462FC">
          <w:object w:dxaOrig="1469" w:dyaOrig="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4.25pt;height:48pt" o:ole="">
              <v:imagedata r:id="rId7" o:title=""/>
            </v:shape>
            <o:OLEObject Type="Embed" ProgID="Excel.Sheet.12" ShapeID="_x0000_i1025" DrawAspect="Icon" ObjectID="_1622308601" r:id="rId8"/>
          </w:object>
        </w:r>
      </w:hyperlink>
    </w:p>
    <w:p w:rsidR="009444A8" w:rsidRDefault="009444A8"/>
    <w:p w:rsidR="00F7577E" w:rsidRDefault="009444A8">
      <w:pPr>
        <w:rPr>
          <w:b/>
        </w:rPr>
      </w:pPr>
      <w:r>
        <w:t xml:space="preserve">Además del contenido de ese documento insertado, se consideran Iniciativas y Propuestas todas las medidas de los Programas de los tres grupos que </w:t>
      </w:r>
      <w:r w:rsidR="007F4B19">
        <w:t xml:space="preserve">sin haber sido rechazadas o modificadas en la negociación </w:t>
      </w:r>
      <w:r>
        <w:t>no aparecen en dicho documento</w:t>
      </w:r>
      <w:r w:rsidR="007F4B19">
        <w:t>.</w:t>
      </w:r>
    </w:p>
    <w:p w:rsidR="00F7577E" w:rsidRDefault="00F7577E">
      <w:pPr>
        <w:rPr>
          <w:b/>
        </w:rPr>
      </w:pPr>
    </w:p>
    <w:p w:rsidR="00F7577E" w:rsidRDefault="00F7577E"/>
    <w:p w:rsidR="00D951C0" w:rsidRDefault="00D951C0">
      <w:r>
        <w:br w:type="page"/>
      </w:r>
    </w:p>
    <w:p w:rsidR="006679AE" w:rsidRDefault="006679AE"/>
    <w:p w:rsidR="006679AE" w:rsidRDefault="006679AE"/>
    <w:p w:rsidR="006679AE" w:rsidRDefault="006679AE"/>
    <w:p w:rsidR="00F7577E" w:rsidRDefault="00C1126C">
      <w:r>
        <w:t>ACUERDO DE FUNCIONAMIENTO</w:t>
      </w:r>
    </w:p>
    <w:p w:rsidR="00F7577E" w:rsidRDefault="00F7577E"/>
    <w:p w:rsidR="00F7577E" w:rsidRDefault="0098136F">
      <w:pPr>
        <w:pStyle w:val="Prrafodelista"/>
        <w:ind w:left="708"/>
      </w:pPr>
      <w:r>
        <w:rPr>
          <w:b/>
        </w:rPr>
        <w:t>El</w:t>
      </w:r>
      <w:r w:rsidR="00715CE5">
        <w:rPr>
          <w:b/>
        </w:rPr>
        <w:t xml:space="preserve"> </w:t>
      </w:r>
      <w:r>
        <w:rPr>
          <w:b/>
        </w:rPr>
        <w:t>Grupo</w:t>
      </w:r>
      <w:r w:rsidR="00C1126C">
        <w:rPr>
          <w:b/>
        </w:rPr>
        <w:t xml:space="preserve"> de Gobierno</w:t>
      </w:r>
      <w:r w:rsidR="00C1126C">
        <w:t xml:space="preserve"> (aunque no sea jurídicamente constituid</w:t>
      </w:r>
      <w:r>
        <w:t>o</w:t>
      </w:r>
      <w:r w:rsidR="00C1126C">
        <w:t xml:space="preserve">) adoptará acuerdos por consenso, y si no puede, por votación. </w:t>
      </w:r>
    </w:p>
    <w:p w:rsidR="00F7577E" w:rsidRDefault="00C1126C">
      <w:pPr>
        <w:pStyle w:val="Prrafodelista"/>
        <w:ind w:left="708"/>
      </w:pPr>
      <w:r>
        <w:t xml:space="preserve">Si hay empate y no se resuelve, pasa a una </w:t>
      </w:r>
      <w:r>
        <w:rPr>
          <w:b/>
        </w:rPr>
        <w:t>Comisión de Seguimiento del Pacto</w:t>
      </w:r>
      <w:r>
        <w:t xml:space="preserve"> formada por tres miembros de cada grupo en la que no se vota. </w:t>
      </w:r>
      <w:r w:rsidR="00715CE5">
        <w:t xml:space="preserve">Si hay dos concejalías en disenso, los concejales implicados </w:t>
      </w:r>
      <w:r>
        <w:t>en</w:t>
      </w:r>
      <w:r w:rsidR="00715CE5">
        <w:t xml:space="preserve"> el</w:t>
      </w:r>
      <w:r>
        <w:t xml:space="preserve"> disenso no participarían en la resolución del </w:t>
      </w:r>
      <w:r w:rsidR="00715CE5">
        <w:t>asunto.</w:t>
      </w:r>
    </w:p>
    <w:p w:rsidR="00715CE5" w:rsidRDefault="00715CE5">
      <w:pPr>
        <w:pStyle w:val="Prrafodelista"/>
        <w:ind w:left="708"/>
      </w:pPr>
    </w:p>
    <w:p w:rsidR="00F7577E" w:rsidRDefault="00C1126C" w:rsidP="004B7823">
      <w:pPr>
        <w:pStyle w:val="Prrafodelista"/>
        <w:ind w:left="708"/>
      </w:pPr>
      <w:r>
        <w:t xml:space="preserve"> Si la Comisión no es capaz de resolver, se devuelve el asunto a</w:t>
      </w:r>
      <w:r w:rsidR="0098136F">
        <w:t>l</w:t>
      </w:r>
      <w:r w:rsidR="00715CE5">
        <w:t xml:space="preserve"> </w:t>
      </w:r>
      <w:r w:rsidR="0098136F" w:rsidRPr="0098136F">
        <w:rPr>
          <w:b/>
        </w:rPr>
        <w:t>Grupo</w:t>
      </w:r>
      <w:r w:rsidR="0098136F">
        <w:rPr>
          <w:b/>
        </w:rPr>
        <w:t xml:space="preserve"> de Gobierno</w:t>
      </w:r>
      <w:r>
        <w:t>. Si est</w:t>
      </w:r>
      <w:r w:rsidR="0098136F">
        <w:t>e</w:t>
      </w:r>
      <w:r>
        <w:t xml:space="preserve"> no resuelve, puede ser motivo para romper el pacto</w:t>
      </w:r>
      <w:r w:rsidR="0098136F">
        <w:t>.</w:t>
      </w:r>
    </w:p>
    <w:p w:rsidR="00F7577E" w:rsidRDefault="00F7577E"/>
    <w:p w:rsidR="007F4B19" w:rsidRDefault="007F4B19" w:rsidP="007F4B19">
      <w:r>
        <w:t>COMPROMISO ÉTICO</w:t>
      </w:r>
    </w:p>
    <w:p w:rsidR="00F7577E" w:rsidRDefault="00F7577E"/>
    <w:p w:rsidR="00F7577E" w:rsidRDefault="007F4B19">
      <w:r>
        <w:t xml:space="preserve">Si hay sentencia de culpabilidad, no necesariamente firme </w:t>
      </w:r>
      <w:r w:rsidR="00C86AF0">
        <w:t xml:space="preserve">y relacionada con </w:t>
      </w:r>
      <w:r>
        <w:t xml:space="preserve"> el desempeño de un cargo público, se debe dimitir como Concejal. Esto se hace sin ánimo de atentar contra el derecho fundamental a la presunción de inocencia.</w:t>
      </w:r>
    </w:p>
    <w:p w:rsidR="007F4B19" w:rsidRDefault="007F4B19"/>
    <w:p w:rsidR="007F4B19" w:rsidRDefault="007F4B19">
      <w:r>
        <w:t>No se puede llevar ningún área sobre la que haya en curso una investigación judicial por el desempeño de cargo público en asuntos relacionados con esa área.</w:t>
      </w:r>
    </w:p>
    <w:p w:rsidR="007F4B19" w:rsidRDefault="007F4B19"/>
    <w:p w:rsidR="007F4B19" w:rsidRDefault="00C86AF0">
      <w:r>
        <w:t>Además cada concejal</w:t>
      </w:r>
      <w:r w:rsidR="007F4B19">
        <w:t xml:space="preserve"> mantendrá los compromisos éticos contraídos con su propio grupo. </w:t>
      </w:r>
    </w:p>
    <w:p w:rsidR="004B7823" w:rsidRDefault="004B7823"/>
    <w:p w:rsidR="005E3839" w:rsidRDefault="005E3839">
      <w:r>
        <w:t xml:space="preserve">En caso de que algún concejal acuda a actos religiosos como concejal, lo hará únicamente en representación de su </w:t>
      </w:r>
      <w:proofErr w:type="spellStart"/>
      <w:r>
        <w:t>concejlía</w:t>
      </w:r>
      <w:proofErr w:type="spellEnd"/>
      <w:r>
        <w:t>.</w:t>
      </w:r>
    </w:p>
    <w:p w:rsidR="005E3839" w:rsidRDefault="005E3839"/>
    <w:p w:rsidR="00D951C0" w:rsidRDefault="00D951C0">
      <w:r>
        <w:br w:type="page"/>
      </w:r>
    </w:p>
    <w:p w:rsidR="006679AE" w:rsidRDefault="006679AE"/>
    <w:p w:rsidR="006679AE" w:rsidRDefault="006679AE"/>
    <w:p w:rsidR="006679AE" w:rsidRDefault="006679AE"/>
    <w:p w:rsidR="00F7577E" w:rsidRDefault="00C1126C">
      <w:r>
        <w:t>RESPONSABILIDADES Y DEDICACIONES</w:t>
      </w:r>
    </w:p>
    <w:p w:rsidR="00F7577E" w:rsidRDefault="00F7577E"/>
    <w:p w:rsidR="00F7577E" w:rsidRDefault="00F7577E"/>
    <w:tbl>
      <w:tblPr>
        <w:tblW w:w="800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686"/>
        <w:gridCol w:w="2095"/>
      </w:tblGrid>
      <w:tr w:rsidR="00F7577E" w:rsidTr="006679AE">
        <w:tc>
          <w:tcPr>
            <w:tcW w:w="2219" w:type="dxa"/>
            <w:shd w:val="clear" w:color="auto" w:fill="auto"/>
          </w:tcPr>
          <w:p w:rsidR="00F7577E" w:rsidRDefault="00C1126C" w:rsidP="00B46895">
            <w:pPr>
              <w:pStyle w:val="Prrafodelista"/>
              <w:spacing w:after="0"/>
              <w:ind w:left="0"/>
              <w:jc w:val="center"/>
            </w:pPr>
            <w:r>
              <w:t>CONCEJAL</w:t>
            </w:r>
          </w:p>
        </w:tc>
        <w:tc>
          <w:tcPr>
            <w:tcW w:w="3686" w:type="dxa"/>
            <w:shd w:val="clear" w:color="auto" w:fill="auto"/>
          </w:tcPr>
          <w:p w:rsidR="00F7577E" w:rsidRDefault="00C1126C" w:rsidP="00B46895">
            <w:pPr>
              <w:pStyle w:val="Prrafodelista"/>
              <w:spacing w:after="0"/>
              <w:ind w:left="0"/>
              <w:jc w:val="center"/>
            </w:pPr>
            <w:r>
              <w:t>ATRIBUCIONES</w:t>
            </w:r>
          </w:p>
        </w:tc>
        <w:tc>
          <w:tcPr>
            <w:tcW w:w="2095" w:type="dxa"/>
            <w:shd w:val="clear" w:color="auto" w:fill="auto"/>
          </w:tcPr>
          <w:p w:rsidR="00F7577E" w:rsidRDefault="00C1126C" w:rsidP="00B46895">
            <w:pPr>
              <w:pStyle w:val="Prrafodelista"/>
              <w:spacing w:after="0"/>
              <w:ind w:left="0"/>
              <w:jc w:val="center"/>
            </w:pPr>
            <w:r>
              <w:t>DEDICACIÓN RETRIBUIDA</w:t>
            </w:r>
            <w:r w:rsidR="0098357F">
              <w:t xml:space="preserve"> A PARTIR DE 2020</w:t>
            </w:r>
          </w:p>
        </w:tc>
      </w:tr>
      <w:tr w:rsidR="00F7577E" w:rsidTr="006679AE">
        <w:tc>
          <w:tcPr>
            <w:tcW w:w="2219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NATALIA</w:t>
            </w:r>
            <w:r w:rsidR="00933FDF">
              <w:t xml:space="preserve"> PÉREZ VÁZQUEZ</w:t>
            </w:r>
          </w:p>
        </w:tc>
        <w:tc>
          <w:tcPr>
            <w:tcW w:w="3686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Medio ambiente</w:t>
            </w:r>
          </w:p>
          <w:p w:rsidR="00F7577E" w:rsidRDefault="00C1126C" w:rsidP="004B7823">
            <w:pPr>
              <w:pStyle w:val="Prrafodelista"/>
              <w:spacing w:after="0"/>
              <w:ind w:left="0"/>
            </w:pPr>
            <w:r>
              <w:t>Obras municipales salvo PIR en curso 16-19</w:t>
            </w:r>
          </w:p>
        </w:tc>
        <w:tc>
          <w:tcPr>
            <w:tcW w:w="2095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33%</w:t>
            </w:r>
          </w:p>
        </w:tc>
      </w:tr>
      <w:tr w:rsidR="00F7577E" w:rsidTr="006679AE">
        <w:tc>
          <w:tcPr>
            <w:tcW w:w="2219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MIGUEL</w:t>
            </w:r>
            <w:r w:rsidR="00933FDF">
              <w:t xml:space="preserve"> MARTÍN HIJANO</w:t>
            </w:r>
          </w:p>
        </w:tc>
        <w:tc>
          <w:tcPr>
            <w:tcW w:w="3686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Turismo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Fiestas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Servicios salvo oficinas</w:t>
            </w:r>
          </w:p>
        </w:tc>
        <w:tc>
          <w:tcPr>
            <w:tcW w:w="2095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33%</w:t>
            </w:r>
          </w:p>
        </w:tc>
      </w:tr>
      <w:tr w:rsidR="00F7577E" w:rsidTr="006679AE">
        <w:tc>
          <w:tcPr>
            <w:tcW w:w="2219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EVA</w:t>
            </w:r>
            <w:r w:rsidR="00933FDF">
              <w:t xml:space="preserve"> PINARDO MOYA</w:t>
            </w:r>
          </w:p>
        </w:tc>
        <w:tc>
          <w:tcPr>
            <w:tcW w:w="3686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Cultura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Deportes</w:t>
            </w:r>
          </w:p>
        </w:tc>
        <w:tc>
          <w:tcPr>
            <w:tcW w:w="2095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33%</w:t>
            </w:r>
          </w:p>
        </w:tc>
      </w:tr>
      <w:tr w:rsidR="00F7577E" w:rsidTr="006679AE">
        <w:tc>
          <w:tcPr>
            <w:tcW w:w="2219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RAÚL</w:t>
            </w:r>
            <w:r w:rsidR="00933FDF">
              <w:t xml:space="preserve"> SAN JUAN LÓPEZ</w:t>
            </w:r>
          </w:p>
        </w:tc>
        <w:tc>
          <w:tcPr>
            <w:tcW w:w="3686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Obras de PIR en curso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Licencias de obra y de actividad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Asuntos sociales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Seguridad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Educación, infancia y juventud</w:t>
            </w:r>
          </w:p>
        </w:tc>
        <w:tc>
          <w:tcPr>
            <w:tcW w:w="2095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84%</w:t>
            </w:r>
          </w:p>
        </w:tc>
      </w:tr>
      <w:tr w:rsidR="00F7577E" w:rsidTr="006679AE">
        <w:tc>
          <w:tcPr>
            <w:tcW w:w="2219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JOSÉ MANUEL</w:t>
            </w:r>
            <w:r w:rsidR="00933FDF">
              <w:t xml:space="preserve"> COLLADO CHOFLET</w:t>
            </w:r>
          </w:p>
        </w:tc>
        <w:tc>
          <w:tcPr>
            <w:tcW w:w="3686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Alcaldía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Promoción económica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Servicios de oficina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Personal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Hacienda</w:t>
            </w:r>
          </w:p>
        </w:tc>
        <w:tc>
          <w:tcPr>
            <w:tcW w:w="2095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0%  * Su dedicación será exclusiva</w:t>
            </w:r>
          </w:p>
        </w:tc>
      </w:tr>
      <w:tr w:rsidR="00F7577E" w:rsidTr="006679AE">
        <w:tc>
          <w:tcPr>
            <w:tcW w:w="2219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MARÍA</w:t>
            </w:r>
            <w:r w:rsidR="00933FDF">
              <w:t xml:space="preserve"> GONZÁLEZ  MORENO</w:t>
            </w:r>
          </w:p>
        </w:tc>
        <w:tc>
          <w:tcPr>
            <w:tcW w:w="3686" w:type="dxa"/>
            <w:shd w:val="clear" w:color="auto" w:fill="auto"/>
          </w:tcPr>
          <w:p w:rsidR="0098357F" w:rsidRDefault="004B7823" w:rsidP="0098357F">
            <w:pPr>
              <w:pStyle w:val="Prrafodelista"/>
              <w:spacing w:after="0"/>
              <w:ind w:left="0"/>
            </w:pPr>
            <w:r>
              <w:t>Planeamiento Urbanístico</w:t>
            </w:r>
            <w:r w:rsidR="0098357F">
              <w:t xml:space="preserve"> (seguimiento de la aprobación del PGOU y de la Modificación Puntual de 1/2014 en trámite)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Igualdad</w:t>
            </w:r>
          </w:p>
          <w:p w:rsidR="00F7577E" w:rsidRDefault="00C1126C">
            <w:pPr>
              <w:pStyle w:val="Prrafodelista"/>
              <w:spacing w:after="0"/>
              <w:ind w:left="0"/>
            </w:pPr>
            <w:r>
              <w:t>Mayores</w:t>
            </w:r>
          </w:p>
        </w:tc>
        <w:tc>
          <w:tcPr>
            <w:tcW w:w="2095" w:type="dxa"/>
            <w:shd w:val="clear" w:color="auto" w:fill="auto"/>
          </w:tcPr>
          <w:p w:rsidR="00F7577E" w:rsidRDefault="00C1126C">
            <w:pPr>
              <w:pStyle w:val="Prrafodelista"/>
              <w:spacing w:after="0"/>
              <w:ind w:left="0"/>
            </w:pPr>
            <w:r>
              <w:t>16%</w:t>
            </w:r>
          </w:p>
        </w:tc>
      </w:tr>
    </w:tbl>
    <w:p w:rsidR="00F7577E" w:rsidRDefault="00F7577E"/>
    <w:p w:rsidR="00F7577E" w:rsidRDefault="00C1126C">
      <w:r>
        <w:t xml:space="preserve">Cuantía de las retribuciones: por 100% de dedicación corresponderán 1500 € líquidos a percibir en 14 pagas. </w:t>
      </w:r>
      <w:r w:rsidR="0098357F">
        <w:t xml:space="preserve">Los concejales tienen la potestad de </w:t>
      </w:r>
      <w:proofErr w:type="spellStart"/>
      <w:r w:rsidR="0098357F">
        <w:t>reunciar</w:t>
      </w:r>
      <w:proofErr w:type="spellEnd"/>
      <w:r w:rsidR="0098357F">
        <w:t xml:space="preserve"> a las retribuciones. En ese caso la</w:t>
      </w:r>
      <w:r>
        <w:t xml:space="preserve"> cantidad </w:t>
      </w:r>
      <w:r w:rsidR="0098357F">
        <w:t xml:space="preserve">correspondiente </w:t>
      </w:r>
      <w:r>
        <w:t>se utilizará para nutrir el resto de programas del presupuesto.</w:t>
      </w:r>
      <w:r w:rsidR="0098357F">
        <w:t xml:space="preserve"> </w:t>
      </w:r>
    </w:p>
    <w:p w:rsidR="004B7823" w:rsidRDefault="004B7823" w:rsidP="004B7823">
      <w:r>
        <w:t xml:space="preserve">Con el fin de no alterar el Presupuesto de 2019, </w:t>
      </w:r>
      <w:r w:rsidR="00C1126C">
        <w:t xml:space="preserve">Raúl </w:t>
      </w:r>
      <w:r w:rsidR="00B46895">
        <w:t xml:space="preserve">San Juan </w:t>
      </w:r>
      <w:r w:rsidR="00C1126C">
        <w:t>mantiene la retribución de 680 € líquidos que ha</w:t>
      </w:r>
      <w:r>
        <w:t xml:space="preserve"> tenido en la legislatura </w:t>
      </w:r>
      <w:r w:rsidR="0094446B">
        <w:t>20</w:t>
      </w:r>
      <w:r>
        <w:t>15-</w:t>
      </w:r>
      <w:r w:rsidR="0094446B">
        <w:t>20</w:t>
      </w:r>
      <w:r>
        <w:t>19 y el resto no percibirán retribución, sino asistencias a Plenos y Comisiones en la cuantía fijada en dicho presupuesto.</w:t>
      </w:r>
    </w:p>
    <w:p w:rsidR="009444A8" w:rsidRDefault="009444A8" w:rsidP="004B7823"/>
    <w:p w:rsidR="009444A8" w:rsidRDefault="009444A8" w:rsidP="004B7823">
      <w:r>
        <w:t>Sobre compensaciones por asistencias a Plenos y Comisiones Informativas, se mantendrán las mismas cuantías que en 2019. Como establece la Ley, quien percibe retribución no percibirá compensación por asistencias.</w:t>
      </w:r>
    </w:p>
    <w:p w:rsidR="00F7577E" w:rsidRDefault="00F7577E"/>
    <w:p w:rsidR="00F7577E" w:rsidRDefault="00C1126C">
      <w:r>
        <w:t>Primera tenencia de alcaldía: PSOE</w:t>
      </w:r>
    </w:p>
    <w:p w:rsidR="00F7577E" w:rsidRDefault="00C1126C">
      <w:r>
        <w:t>Segunda tenencia de alcaldía: UIUP</w:t>
      </w:r>
    </w:p>
    <w:p w:rsidR="00F7577E" w:rsidRDefault="00C1126C">
      <w:r>
        <w:t>Órganos colegiados: se tratará más adelante</w:t>
      </w:r>
    </w:p>
    <w:p w:rsidR="00F7577E" w:rsidRDefault="00F7577E"/>
    <w:p w:rsidR="007F4B19" w:rsidRDefault="00C1126C">
      <w:r>
        <w:t xml:space="preserve">En caso de baja de José Manuel </w:t>
      </w:r>
      <w:r w:rsidR="00B46895">
        <w:t xml:space="preserve">Collado </w:t>
      </w:r>
      <w:r>
        <w:t>como alcalde se volverá a tratar la elección de alcaldía.</w:t>
      </w:r>
    </w:p>
    <w:p w:rsidR="00A53669" w:rsidRDefault="00A53669"/>
    <w:p w:rsidR="00A53669" w:rsidRDefault="00A53669"/>
    <w:p w:rsidR="006679AE" w:rsidRDefault="006679AE"/>
    <w:p w:rsidR="006679AE" w:rsidRDefault="006679AE"/>
    <w:p w:rsidR="006679AE" w:rsidRDefault="006679AE"/>
    <w:p w:rsidR="00A53669" w:rsidRDefault="00A53669">
      <w:proofErr w:type="spellStart"/>
      <w:r>
        <w:t>Bustarviejo</w:t>
      </w:r>
      <w:proofErr w:type="spellEnd"/>
      <w:r>
        <w:t xml:space="preserve"> 13 de junio de 2019-06-13</w:t>
      </w:r>
    </w:p>
    <w:p w:rsidR="00A53669" w:rsidRDefault="00A53669"/>
    <w:p w:rsidR="00A53669" w:rsidRDefault="00A53669"/>
    <w:p w:rsidR="00A53669" w:rsidRDefault="00A53669">
      <w:r>
        <w:t>Por Unidas Izquierda Unida Podemos</w:t>
      </w:r>
    </w:p>
    <w:p w:rsidR="00A53669" w:rsidRDefault="00A53669">
      <w:r>
        <w:t xml:space="preserve">Eva </w:t>
      </w:r>
      <w:proofErr w:type="spellStart"/>
      <w:r>
        <w:t>Pinardo</w:t>
      </w:r>
      <w:proofErr w:type="spellEnd"/>
      <w:r>
        <w:t xml:space="preserve"> Moya</w:t>
      </w:r>
    </w:p>
    <w:p w:rsidR="00A53669" w:rsidRDefault="00A53669"/>
    <w:p w:rsidR="00A53669" w:rsidRDefault="00A53669"/>
    <w:p w:rsidR="00A53669" w:rsidRDefault="00A53669"/>
    <w:p w:rsidR="00A53669" w:rsidRDefault="00A53669"/>
    <w:p w:rsidR="00A53669" w:rsidRDefault="00A53669">
      <w:r>
        <w:t>Por Partido Socialista Obrero Español</w:t>
      </w:r>
    </w:p>
    <w:p w:rsidR="00A53669" w:rsidRDefault="00A53669">
      <w:r>
        <w:t xml:space="preserve">Miguel Martín </w:t>
      </w:r>
      <w:proofErr w:type="spellStart"/>
      <w:r>
        <w:t>Hijano</w:t>
      </w:r>
      <w:proofErr w:type="spellEnd"/>
    </w:p>
    <w:p w:rsidR="00A53669" w:rsidRDefault="00A53669"/>
    <w:p w:rsidR="00A53669" w:rsidRDefault="00A53669"/>
    <w:p w:rsidR="00A53669" w:rsidRDefault="00A53669"/>
    <w:p w:rsidR="00A53669" w:rsidRDefault="00A53669"/>
    <w:p w:rsidR="00A53669" w:rsidRDefault="00A53669">
      <w:r>
        <w:t xml:space="preserve">Por Agrupación Vecinal de </w:t>
      </w:r>
      <w:proofErr w:type="spellStart"/>
      <w:r>
        <w:t>Bustarviejo</w:t>
      </w:r>
      <w:proofErr w:type="spellEnd"/>
    </w:p>
    <w:p w:rsidR="00A53669" w:rsidRDefault="00A53669">
      <w:r>
        <w:t xml:space="preserve">José Manuel Collado </w:t>
      </w:r>
      <w:proofErr w:type="spellStart"/>
      <w:r>
        <w:t>Choflet</w:t>
      </w:r>
      <w:proofErr w:type="spellEnd"/>
    </w:p>
    <w:p w:rsidR="00A53669" w:rsidRDefault="00A53669"/>
    <w:p w:rsidR="00A53669" w:rsidRDefault="00A53669"/>
    <w:p w:rsidR="007F4B19" w:rsidRDefault="007F4B19"/>
    <w:sectPr w:rsidR="007F4B19" w:rsidSect="00F7577E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76" w:rsidRDefault="00852776" w:rsidP="007F19FB">
      <w:r>
        <w:separator/>
      </w:r>
    </w:p>
  </w:endnote>
  <w:endnote w:type="continuationSeparator" w:id="0">
    <w:p w:rsidR="00852776" w:rsidRDefault="00852776" w:rsidP="007F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76" w:rsidRDefault="00852776" w:rsidP="007F19FB">
      <w:r>
        <w:separator/>
      </w:r>
    </w:p>
  </w:footnote>
  <w:footnote w:type="continuationSeparator" w:id="0">
    <w:p w:rsidR="00852776" w:rsidRDefault="00852776" w:rsidP="007F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26" w:rsidRDefault="006679AE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152400</wp:posOffset>
          </wp:positionV>
          <wp:extent cx="537845" cy="711200"/>
          <wp:effectExtent l="19050" t="0" r="0" b="0"/>
          <wp:wrapNone/>
          <wp:docPr id="4" name="Imagen 2" descr="C:\Users\pc\Desktop\PSX_20190506_234617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PSX_20190506_234617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19FB" w:rsidRDefault="006679AE">
    <w:pPr>
      <w:pStyle w:val="Encabezado"/>
    </w:pPr>
    <w:r>
      <w:rPr>
        <w:noProof/>
        <w:lang w:eastAsia="es-ES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66040</wp:posOffset>
          </wp:positionV>
          <wp:extent cx="1177290" cy="469900"/>
          <wp:effectExtent l="0" t="0" r="381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129540</wp:posOffset>
          </wp:positionV>
          <wp:extent cx="933450" cy="482600"/>
          <wp:effectExtent l="19050" t="0" r="0" b="0"/>
          <wp:wrapNone/>
          <wp:docPr id="3" name="2 Imagen" descr="IMG-20190522-WA0006-1_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90522-WA0006-1_resiz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345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E"/>
    <w:rsid w:val="00016551"/>
    <w:rsid w:val="000349DE"/>
    <w:rsid w:val="000D093C"/>
    <w:rsid w:val="000D41C6"/>
    <w:rsid w:val="000D58F9"/>
    <w:rsid w:val="002462FC"/>
    <w:rsid w:val="002B29FB"/>
    <w:rsid w:val="004B7823"/>
    <w:rsid w:val="005579D9"/>
    <w:rsid w:val="005E3839"/>
    <w:rsid w:val="006679AE"/>
    <w:rsid w:val="006E063A"/>
    <w:rsid w:val="00715CE5"/>
    <w:rsid w:val="007F19FB"/>
    <w:rsid w:val="007F4B19"/>
    <w:rsid w:val="00852776"/>
    <w:rsid w:val="00881DAE"/>
    <w:rsid w:val="00925215"/>
    <w:rsid w:val="00926065"/>
    <w:rsid w:val="00933FDF"/>
    <w:rsid w:val="0094446B"/>
    <w:rsid w:val="009444A8"/>
    <w:rsid w:val="0098136F"/>
    <w:rsid w:val="0098357F"/>
    <w:rsid w:val="00A53669"/>
    <w:rsid w:val="00AE70F3"/>
    <w:rsid w:val="00B46895"/>
    <w:rsid w:val="00C1126C"/>
    <w:rsid w:val="00C35AA2"/>
    <w:rsid w:val="00C85D97"/>
    <w:rsid w:val="00C86AF0"/>
    <w:rsid w:val="00CB0146"/>
    <w:rsid w:val="00D70754"/>
    <w:rsid w:val="00D951C0"/>
    <w:rsid w:val="00E76200"/>
    <w:rsid w:val="00F23B96"/>
    <w:rsid w:val="00F40D6A"/>
    <w:rsid w:val="00F7577E"/>
    <w:rsid w:val="00F96326"/>
    <w:rsid w:val="00FC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D1767-0A68-470F-8100-387BCBC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Textoindependiente"/>
    <w:qFormat/>
    <w:rsid w:val="00F757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F7577E"/>
    <w:pPr>
      <w:spacing w:after="140" w:line="276" w:lineRule="auto"/>
    </w:pPr>
  </w:style>
  <w:style w:type="paragraph" w:styleId="Lista">
    <w:name w:val="List"/>
    <w:basedOn w:val="Textoindependiente"/>
    <w:rsid w:val="00F7577E"/>
  </w:style>
  <w:style w:type="paragraph" w:customStyle="1" w:styleId="Descripcin1">
    <w:name w:val="Descripción1"/>
    <w:basedOn w:val="Normal"/>
    <w:qFormat/>
    <w:rsid w:val="00F7577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7577E"/>
    <w:pPr>
      <w:suppressLineNumbers/>
    </w:pPr>
  </w:style>
  <w:style w:type="paragraph" w:styleId="Prrafodelista">
    <w:name w:val="List Paragraph"/>
    <w:basedOn w:val="Normal"/>
    <w:uiPriority w:val="34"/>
    <w:qFormat/>
    <w:rsid w:val="00F7577E"/>
    <w:pPr>
      <w:spacing w:after="200"/>
      <w:ind w:left="720"/>
      <w:contextualSpacing/>
    </w:pPr>
  </w:style>
  <w:style w:type="paragraph" w:customStyle="1" w:styleId="Contenidodelatabla">
    <w:name w:val="Contenido de la tabla"/>
    <w:basedOn w:val="Normal"/>
    <w:qFormat/>
    <w:rsid w:val="00F7577E"/>
    <w:pPr>
      <w:suppressLineNumbers/>
    </w:pPr>
  </w:style>
  <w:style w:type="paragraph" w:customStyle="1" w:styleId="Ttulodelatabla">
    <w:name w:val="Título de la tabla"/>
    <w:basedOn w:val="Contenidodelatabla"/>
    <w:qFormat/>
    <w:rsid w:val="00F7577E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19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F19F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9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9FB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32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2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bustarviejo.org/wp-content/uploads/2019/06/Programa-de-gobierno-AVB-PSOE-UIUP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Rincon Roman</cp:lastModifiedBy>
  <cp:revision>3</cp:revision>
  <cp:lastPrinted>2019-06-17T18:29:00Z</cp:lastPrinted>
  <dcterms:created xsi:type="dcterms:W3CDTF">2019-06-17T18:25:00Z</dcterms:created>
  <dcterms:modified xsi:type="dcterms:W3CDTF">2019-06-17T18:30:00Z</dcterms:modified>
  <dc:language>es-ES</dc:language>
</cp:coreProperties>
</file>